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CURRICULUM VITAE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MAURO FRANCESCO GAGLIARDI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residenza:  Via F.lli Cervi – res. Fontana  20090 Segrate   cell. 339-8100631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nato a Milano il 31/01/1969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FORMAZIONE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Diploma Istituto Tecnico Industriale in Elettronica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CONOSCENZA LINGUE STRANIERE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inglese:   corsi British Council Milano e aziendali Mediaset (intermediate level). Discreta comprensione dello scritto.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ab/>
        <w:tab/>
        <w:tab/>
        <w:tab/>
        <w:tab/>
        <w:t xml:space="preserve">CONOSCENZE INFORMATICHE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linguaggio di programmazione Visual Basic (attestazione Microsoft  -  1996), PL-SQL  e database (attestazione Oracle - 1998), Office, nozioni di html/Java .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ab/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ab/>
        <w:tab/>
        <w:tab/>
        <w:tab/>
        <w:tab/>
        <w:t xml:space="preserve">ESPERIENZE DI LAVORO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1988 - addetto vendite computer presso Apple Store - Milano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1989 - settore editoria: videoimpaginazione con l’ausilio di computer Macintosh e sistemi dedicati (azienda GrafoTitoli – Sesto S.G.)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1991 settembre – assunzione in Silvio Berlusconi Communications  struttura Banca Dati Documentazione TV/Cinema (responsabile: A. Mariani)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attività svolte nel periodo 1991 – 2010 in Banca Dati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Inizialmente mi sono occupato di  grafica e elaborazioni dati con l’ausilio di computer  Apple Macintosh (primo pc introdotto nella Struttura in concomitanza con la mia assunzione) e al supporto tecnico e formativo dei colleghi nell’uso dei personal computer gradualmente introdotti in sostituzione dei videoterminali mainframe.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Affiancamento a Marisa Silva (coordinatrice Banca Dati) per il supporto tecnico, progettuale e realizzativo di applicativi software a utilizzo interno dalla Struttura e a diffusione più ampia (es. “Cinefile” – enciclopedia del cinema su CD-ROM, “Ottimizzazione Library” –  supporto per Reti e Coordinamento per l’assegnazione dei prodotti a magazzino, applicativi Intranet Area Diritti). Per lo sviluppo di questi software, a partire dalla metà degli anni ’90, la Struttura si è avvalsa  anche di consulenti informatici esterni che, pur operando all’interno della Banca Dati, si sono alternati nel tempo:  pertanto il mio contributo è servito a garantire una continuità tecnologica nei servizi offerti da Banca Dati nel corso degli anni ai propri utenti.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Fin dalla prima versione di “Ottimizzazione Library” (1994), mi sono occupato della progettazione e alimentazione dei database con le principali informazioni provenienti dall’Area Diritti (Anagrafica, Emesso , Diritti) gestendo in particolare le problematiche legate alla sicurezza e riservatezza dei dati trattati.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La complessità e eterogeneità delle informazioni aziendali ha richiesto nel tempo un costante lavoro di integrazione anche con l’attività svolta dalla Direzione Sistemi:  insieme a Marisa ho pertanto condiviso anche questa parte di attività.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 partire dal 2005 inoltre mi sono occupato,  in autonomia, di mantenere i rapporti con SIAE per i corrispettivi che Mediaset riconosce agli autori di prodotti cinetelevisivi (normativa “Equo Compenso”). L’attività prevedeva l’invio periodico di una rendicontazione a SIAE di quanto trasmesso dalle reti Mediaset, la valutazione di eventuali contestazioni segnalate dagli interessati e l’invio periodico al Controllo di Gestione di prospetti riepilogativi degli importi da erogare. A partire dallo stesso anno, con il passaggio a livello di Quadro, ho continuato ad affiancare Marisa nelle attività di coordinamento della Struttura. 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both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da giugno 2010 in ICR 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ab/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sectPr>
      <w:pgSz w:w="11906" w:h="16838"/>
      <w:pgMar w:left="1134" w:right="1134" w:top="1417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ourier New"/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contextualSpacing w:val="1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VITAE.doc.docx</dc:title>
</cp:coreProperties>
</file>