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C37A" w14:textId="77777777" w:rsidR="00EF195B" w:rsidRPr="00EF195B" w:rsidRDefault="00EF195B" w:rsidP="00EF195B">
      <w:pPr>
        <w:rPr>
          <w:b/>
          <w:bCs/>
        </w:rPr>
      </w:pPr>
      <w:r w:rsidRPr="00EF195B">
        <w:rPr>
          <w:b/>
          <w:bCs/>
        </w:rPr>
        <w:t>Tolleranza Immunologica e Rigetto nel Trapianto d'Organo</w:t>
      </w:r>
    </w:p>
    <w:p w14:paraId="61F5E228" w14:textId="77777777" w:rsidR="00EF195B" w:rsidRPr="00EF195B" w:rsidRDefault="00EF195B" w:rsidP="00EF195B">
      <w:pPr>
        <w:rPr>
          <w:b/>
          <w:bCs/>
        </w:rPr>
      </w:pPr>
      <w:r w:rsidRPr="00EF195B">
        <w:rPr>
          <w:b/>
          <w:bCs/>
        </w:rPr>
        <w:t>1. Introduzione</w:t>
      </w:r>
    </w:p>
    <w:p w14:paraId="30F1FEBC" w14:textId="77777777" w:rsidR="00EF195B" w:rsidRPr="00EF195B" w:rsidRDefault="00EF195B" w:rsidP="00EF195B">
      <w:r w:rsidRPr="00EF195B">
        <w:t xml:space="preserve">Il trapianto d'organo è una delle più grandi conquiste della medicina moderna. Grazie ai progressi della chirurgia e dell’immunologia, è possibile sostituire organi danneggiati con organi sani provenienti da donatori vivi o deceduti. Tuttavia, il sistema immunitario del ricevente riconosce l'organo trapiantato come "estraneo" e potrebbe attaccarlo, causando il cosiddetto </w:t>
      </w:r>
      <w:r w:rsidRPr="00EF195B">
        <w:rPr>
          <w:b/>
          <w:bCs/>
        </w:rPr>
        <w:t>rigetto</w:t>
      </w:r>
      <w:r w:rsidRPr="00EF195B">
        <w:t>.</w:t>
      </w:r>
    </w:p>
    <w:p w14:paraId="4EC642D8" w14:textId="77777777" w:rsidR="00EF195B" w:rsidRPr="00EF195B" w:rsidRDefault="00EF195B" w:rsidP="00EF195B">
      <w:r w:rsidRPr="00EF195B">
        <w:t xml:space="preserve">Per evitare il rigetto e garantire il successo del trapianto, è necessario che il sistema immunitario del paziente sviluppi una forma di </w:t>
      </w:r>
      <w:r w:rsidRPr="00EF195B">
        <w:rPr>
          <w:b/>
          <w:bCs/>
        </w:rPr>
        <w:t>tolleranza immunologica</w:t>
      </w:r>
      <w:r w:rsidRPr="00EF195B">
        <w:t>, ovvero la capacità di non reagire contro l'organo trapiantato. Questo equilibrio può essere ottenuto con l’uso di farmaci immunosoppressori, ma la ricerca sta cercando soluzioni più avanzate per indurre una tolleranza stabile e duratura senza gli effetti collaterali di tali farmaci.</w:t>
      </w:r>
    </w:p>
    <w:p w14:paraId="26FF3C6D" w14:textId="77777777" w:rsidR="00EF195B" w:rsidRPr="00EF195B" w:rsidRDefault="00EF195B" w:rsidP="00EF195B">
      <w:r w:rsidRPr="00EF195B">
        <w:t>Questa ricerca si propone di analizzare i meccanismi del rigetto, le strategie per indurre la tolleranza immunologica e le nuove frontiere della medicina per migliorare la compatibilità nei trapianti d'organo.</w:t>
      </w:r>
    </w:p>
    <w:p w14:paraId="28BDE0EA" w14:textId="77777777" w:rsidR="00EF195B" w:rsidRPr="00EF195B" w:rsidRDefault="00EF195B" w:rsidP="00EF195B">
      <w:r w:rsidRPr="00EF195B">
        <w:pict w14:anchorId="0B6286BF">
          <v:rect id="_x0000_i1049" style="width:0;height:1.5pt" o:hralign="center" o:hrstd="t" o:hr="t" fillcolor="#a0a0a0" stroked="f"/>
        </w:pict>
      </w:r>
    </w:p>
    <w:p w14:paraId="176A3725" w14:textId="77777777" w:rsidR="00EF195B" w:rsidRPr="00EF195B" w:rsidRDefault="00EF195B" w:rsidP="00EF195B">
      <w:pPr>
        <w:rPr>
          <w:b/>
          <w:bCs/>
        </w:rPr>
      </w:pPr>
      <w:r w:rsidRPr="00EF195B">
        <w:rPr>
          <w:b/>
          <w:bCs/>
        </w:rPr>
        <w:t>2. Il Rigetto del Trapianto</w:t>
      </w:r>
    </w:p>
    <w:p w14:paraId="60D23A84" w14:textId="77777777" w:rsidR="00EF195B" w:rsidRPr="00EF195B" w:rsidRDefault="00EF195B" w:rsidP="00EF195B">
      <w:pPr>
        <w:rPr>
          <w:b/>
          <w:bCs/>
        </w:rPr>
      </w:pPr>
      <w:r w:rsidRPr="00EF195B">
        <w:rPr>
          <w:b/>
          <w:bCs/>
        </w:rPr>
        <w:t>2.1 Tipologie di Rigetto</w:t>
      </w:r>
    </w:p>
    <w:p w14:paraId="7C1BBD01" w14:textId="77777777" w:rsidR="00EF195B" w:rsidRPr="00EF195B" w:rsidRDefault="00EF195B" w:rsidP="00EF195B">
      <w:r w:rsidRPr="00EF195B">
        <w:t>Il rigetto si verifica quando il sistema immunitario riconosce l'organo trapiantato come un corpo estraneo e lo attacca, danneggiandolo progressivamente. Esistono diverse forme di rigetto:</w:t>
      </w:r>
    </w:p>
    <w:p w14:paraId="4F2ED483" w14:textId="77777777" w:rsidR="00EF195B" w:rsidRPr="00EF195B" w:rsidRDefault="00EF195B" w:rsidP="00EF195B">
      <w:pPr>
        <w:numPr>
          <w:ilvl w:val="0"/>
          <w:numId w:val="1"/>
        </w:numPr>
      </w:pPr>
      <w:r w:rsidRPr="00EF195B">
        <w:rPr>
          <w:b/>
          <w:bCs/>
        </w:rPr>
        <w:t>Rigetto iperacuto</w:t>
      </w:r>
    </w:p>
    <w:p w14:paraId="529B76E3" w14:textId="77777777" w:rsidR="00EF195B" w:rsidRPr="00EF195B" w:rsidRDefault="00EF195B" w:rsidP="00EF195B">
      <w:pPr>
        <w:numPr>
          <w:ilvl w:val="1"/>
          <w:numId w:val="1"/>
        </w:numPr>
      </w:pPr>
      <w:r w:rsidRPr="00EF195B">
        <w:t xml:space="preserve">Si manifesta </w:t>
      </w:r>
      <w:r w:rsidRPr="00EF195B">
        <w:rPr>
          <w:b/>
          <w:bCs/>
        </w:rPr>
        <w:t>immediatamente</w:t>
      </w:r>
      <w:r w:rsidRPr="00EF195B">
        <w:t xml:space="preserve"> dopo il trapianto (entro pochi minuti o ore).</w:t>
      </w:r>
    </w:p>
    <w:p w14:paraId="312CBF61" w14:textId="77777777" w:rsidR="00EF195B" w:rsidRPr="00EF195B" w:rsidRDefault="00EF195B" w:rsidP="00EF195B">
      <w:pPr>
        <w:numPr>
          <w:ilvl w:val="1"/>
          <w:numId w:val="1"/>
        </w:numPr>
      </w:pPr>
      <w:r w:rsidRPr="00EF195B">
        <w:t xml:space="preserve">È causato da </w:t>
      </w:r>
      <w:r w:rsidRPr="00EF195B">
        <w:rPr>
          <w:b/>
          <w:bCs/>
        </w:rPr>
        <w:t>anticorpi preesistenti</w:t>
      </w:r>
      <w:r w:rsidRPr="00EF195B">
        <w:t xml:space="preserve"> nel ricevente che attaccano le cellule dell’organo donato.</w:t>
      </w:r>
    </w:p>
    <w:p w14:paraId="1CB6A8B5" w14:textId="77777777" w:rsidR="00EF195B" w:rsidRPr="00EF195B" w:rsidRDefault="00EF195B" w:rsidP="00EF195B">
      <w:pPr>
        <w:numPr>
          <w:ilvl w:val="1"/>
          <w:numId w:val="1"/>
        </w:numPr>
      </w:pPr>
      <w:r w:rsidRPr="00EF195B">
        <w:t>È molto raro grazie ai test di compatibilità che si effettuano prima del trapianto.</w:t>
      </w:r>
    </w:p>
    <w:p w14:paraId="2672F1A3" w14:textId="77777777" w:rsidR="00EF195B" w:rsidRPr="00EF195B" w:rsidRDefault="00EF195B" w:rsidP="00EF195B">
      <w:pPr>
        <w:numPr>
          <w:ilvl w:val="0"/>
          <w:numId w:val="1"/>
        </w:numPr>
      </w:pPr>
      <w:r w:rsidRPr="00EF195B">
        <w:rPr>
          <w:b/>
          <w:bCs/>
        </w:rPr>
        <w:t>Rigetto acuto</w:t>
      </w:r>
    </w:p>
    <w:p w14:paraId="22ACB170" w14:textId="77777777" w:rsidR="00EF195B" w:rsidRPr="00EF195B" w:rsidRDefault="00EF195B" w:rsidP="00EF195B">
      <w:pPr>
        <w:numPr>
          <w:ilvl w:val="1"/>
          <w:numId w:val="1"/>
        </w:numPr>
      </w:pPr>
      <w:r w:rsidRPr="00EF195B">
        <w:t xml:space="preserve">Si verifica entro </w:t>
      </w:r>
      <w:r w:rsidRPr="00EF195B">
        <w:rPr>
          <w:b/>
          <w:bCs/>
        </w:rPr>
        <w:t>i primi tre mesi dal trapianto</w:t>
      </w:r>
      <w:r w:rsidRPr="00EF195B">
        <w:t>.</w:t>
      </w:r>
    </w:p>
    <w:p w14:paraId="561FEA81" w14:textId="77777777" w:rsidR="00EF195B" w:rsidRPr="00EF195B" w:rsidRDefault="00EF195B" w:rsidP="00EF195B">
      <w:pPr>
        <w:numPr>
          <w:ilvl w:val="1"/>
          <w:numId w:val="1"/>
        </w:numPr>
      </w:pPr>
      <w:r w:rsidRPr="00EF195B">
        <w:t xml:space="preserve">È mediato principalmente dai </w:t>
      </w:r>
      <w:r w:rsidRPr="00EF195B">
        <w:rPr>
          <w:b/>
          <w:bCs/>
        </w:rPr>
        <w:t>linfociti T</w:t>
      </w:r>
      <w:r w:rsidRPr="00EF195B">
        <w:t>, che riconoscono l’organo trapiantato come estraneo e lo attaccano.</w:t>
      </w:r>
    </w:p>
    <w:p w14:paraId="21744862" w14:textId="77777777" w:rsidR="00EF195B" w:rsidRPr="00EF195B" w:rsidRDefault="00EF195B" w:rsidP="00EF195B">
      <w:pPr>
        <w:numPr>
          <w:ilvl w:val="1"/>
          <w:numId w:val="1"/>
        </w:numPr>
      </w:pPr>
      <w:r w:rsidRPr="00EF195B">
        <w:t>Può essere controllato con farmaci immunosoppressori.</w:t>
      </w:r>
    </w:p>
    <w:p w14:paraId="05099233" w14:textId="77777777" w:rsidR="00EF195B" w:rsidRPr="00EF195B" w:rsidRDefault="00EF195B" w:rsidP="00EF195B">
      <w:pPr>
        <w:numPr>
          <w:ilvl w:val="0"/>
          <w:numId w:val="1"/>
        </w:numPr>
      </w:pPr>
      <w:r w:rsidRPr="00EF195B">
        <w:rPr>
          <w:b/>
          <w:bCs/>
        </w:rPr>
        <w:t>Rigetto cronico</w:t>
      </w:r>
    </w:p>
    <w:p w14:paraId="5B3A63A6" w14:textId="77777777" w:rsidR="00EF195B" w:rsidRPr="00EF195B" w:rsidRDefault="00EF195B" w:rsidP="00EF195B">
      <w:pPr>
        <w:numPr>
          <w:ilvl w:val="1"/>
          <w:numId w:val="1"/>
        </w:numPr>
      </w:pPr>
      <w:r w:rsidRPr="00EF195B">
        <w:t xml:space="preserve">Può svilupparsi </w:t>
      </w:r>
      <w:r w:rsidRPr="00EF195B">
        <w:rPr>
          <w:b/>
          <w:bCs/>
        </w:rPr>
        <w:t>mesi o anni dopo il trapianto</w:t>
      </w:r>
      <w:r w:rsidRPr="00EF195B">
        <w:t>.</w:t>
      </w:r>
    </w:p>
    <w:p w14:paraId="6A0DCF30" w14:textId="77777777" w:rsidR="00EF195B" w:rsidRPr="00EF195B" w:rsidRDefault="00EF195B" w:rsidP="00EF195B">
      <w:pPr>
        <w:numPr>
          <w:ilvl w:val="1"/>
          <w:numId w:val="1"/>
        </w:numPr>
      </w:pPr>
      <w:r w:rsidRPr="00EF195B">
        <w:t xml:space="preserve">È un processo lento e progressivo, caratterizzato da </w:t>
      </w:r>
      <w:r w:rsidRPr="00EF195B">
        <w:rPr>
          <w:b/>
          <w:bCs/>
        </w:rPr>
        <w:t>infiammazione e fibrosi</w:t>
      </w:r>
      <w:r w:rsidRPr="00EF195B">
        <w:t>, che riducono la funzionalità dell’organo.</w:t>
      </w:r>
    </w:p>
    <w:p w14:paraId="2ED25641" w14:textId="77777777" w:rsidR="00EF195B" w:rsidRPr="00EF195B" w:rsidRDefault="00EF195B" w:rsidP="00EF195B">
      <w:pPr>
        <w:numPr>
          <w:ilvl w:val="1"/>
          <w:numId w:val="1"/>
        </w:numPr>
      </w:pPr>
      <w:r w:rsidRPr="00EF195B">
        <w:t>È più difficile da trattare e rappresenta una delle principali cause di fallimento a lungo termine del trapianto.</w:t>
      </w:r>
    </w:p>
    <w:p w14:paraId="5643D214" w14:textId="77777777" w:rsidR="00EF195B" w:rsidRPr="00EF195B" w:rsidRDefault="00EF195B" w:rsidP="00EF195B">
      <w:pPr>
        <w:rPr>
          <w:b/>
          <w:bCs/>
        </w:rPr>
      </w:pPr>
      <w:r w:rsidRPr="00EF195B">
        <w:rPr>
          <w:b/>
          <w:bCs/>
        </w:rPr>
        <w:t>2.2 Meccanismi Immunologici del Rigetto</w:t>
      </w:r>
    </w:p>
    <w:p w14:paraId="02DF3AA3" w14:textId="77777777" w:rsidR="00EF195B" w:rsidRPr="00EF195B" w:rsidRDefault="00EF195B" w:rsidP="00EF195B">
      <w:r w:rsidRPr="00EF195B">
        <w:t xml:space="preserve">Il sistema immunitario umano è programmato per difendere l’organismo da agenti esterni come batteri e virus. Tuttavia, nel caso di un trapianto, l'organo donato viene riconosciuto come un elemento </w:t>
      </w:r>
      <w:r w:rsidRPr="00EF195B">
        <w:lastRenderedPageBreak/>
        <w:t xml:space="preserve">estraneo perché le sue cellule esprimono </w:t>
      </w:r>
      <w:r w:rsidRPr="00EF195B">
        <w:rPr>
          <w:b/>
          <w:bCs/>
        </w:rPr>
        <w:t>molecole HLA (antigeni leucocitari umani)</w:t>
      </w:r>
      <w:r w:rsidRPr="00EF195B">
        <w:t xml:space="preserve"> diverse da quelle del ricevente. Questo innesca una risposta immunitaria che può portare al rigetto.</w:t>
      </w:r>
    </w:p>
    <w:p w14:paraId="48D92BDF" w14:textId="77777777" w:rsidR="00EF195B" w:rsidRPr="00EF195B" w:rsidRDefault="00EF195B" w:rsidP="00EF195B">
      <w:r w:rsidRPr="00EF195B">
        <w:t xml:space="preserve">Secondo lo studio di </w:t>
      </w:r>
      <w:proofErr w:type="spellStart"/>
      <w:r w:rsidRPr="00EF195B">
        <w:rPr>
          <w:b/>
          <w:bCs/>
        </w:rPr>
        <w:t>Dolla</w:t>
      </w:r>
      <w:proofErr w:type="spellEnd"/>
      <w:r w:rsidRPr="00EF195B">
        <w:rPr>
          <w:b/>
          <w:bCs/>
        </w:rPr>
        <w:t xml:space="preserve"> (2018)</w:t>
      </w:r>
      <w:r w:rsidRPr="00EF195B">
        <w:t xml:space="preserve">, i </w:t>
      </w:r>
      <w:r w:rsidRPr="00EF195B">
        <w:rPr>
          <w:b/>
          <w:bCs/>
        </w:rPr>
        <w:t>linfociti T citotossici</w:t>
      </w:r>
      <w:r w:rsidRPr="00EF195B">
        <w:t xml:space="preserve"> giocano un ruolo chiave nel riconoscimento dell’organo trapiantato e nella sua distruzione. Per questo motivo, le terapie immunosoppressive mirano a ridurre l’attività di questi linfociti per prevenire il rigetto (</w:t>
      </w:r>
      <w:proofErr w:type="spellStart"/>
      <w:r w:rsidRPr="00EF195B">
        <w:fldChar w:fldCharType="begin"/>
      </w:r>
      <w:r w:rsidRPr="00EF195B">
        <w:instrText>HYPERLINK "https://iris.unito.it/bitstream/2318/2018132/2/TESI_DOTTORATO_DOLLA.pdf" \t "_new"</w:instrText>
      </w:r>
      <w:r w:rsidRPr="00EF195B">
        <w:fldChar w:fldCharType="separate"/>
      </w:r>
      <w:r w:rsidRPr="00EF195B">
        <w:rPr>
          <w:rStyle w:val="Collegamentoipertestuale"/>
        </w:rPr>
        <w:t>Dolla</w:t>
      </w:r>
      <w:proofErr w:type="spellEnd"/>
      <w:r w:rsidRPr="00EF195B">
        <w:rPr>
          <w:rStyle w:val="Collegamentoipertestuale"/>
        </w:rPr>
        <w:t>, 2018</w:t>
      </w:r>
      <w:r w:rsidRPr="00EF195B">
        <w:fldChar w:fldCharType="end"/>
      </w:r>
      <w:r w:rsidRPr="00EF195B">
        <w:t>).</w:t>
      </w:r>
    </w:p>
    <w:p w14:paraId="4E74EDBE" w14:textId="77777777" w:rsidR="00EF195B" w:rsidRPr="00EF195B" w:rsidRDefault="00EF195B" w:rsidP="00EF195B">
      <w:r w:rsidRPr="00EF195B">
        <w:pict w14:anchorId="5DD80522">
          <v:rect id="_x0000_i1050" style="width:0;height:1.5pt" o:hralign="center" o:hrstd="t" o:hr="t" fillcolor="#a0a0a0" stroked="f"/>
        </w:pict>
      </w:r>
    </w:p>
    <w:p w14:paraId="76D179CC" w14:textId="77777777" w:rsidR="00EF195B" w:rsidRPr="00EF195B" w:rsidRDefault="00EF195B" w:rsidP="00EF195B">
      <w:pPr>
        <w:rPr>
          <w:b/>
          <w:bCs/>
        </w:rPr>
      </w:pPr>
      <w:r w:rsidRPr="00EF195B">
        <w:rPr>
          <w:b/>
          <w:bCs/>
        </w:rPr>
        <w:t>3. La Tolleranza Immunologica</w:t>
      </w:r>
    </w:p>
    <w:p w14:paraId="5D3A76E7" w14:textId="77777777" w:rsidR="00EF195B" w:rsidRPr="00EF195B" w:rsidRDefault="00EF195B" w:rsidP="00EF195B">
      <w:pPr>
        <w:rPr>
          <w:b/>
          <w:bCs/>
        </w:rPr>
      </w:pPr>
      <w:r w:rsidRPr="00EF195B">
        <w:rPr>
          <w:b/>
          <w:bCs/>
        </w:rPr>
        <w:t>3.1 Cos’è la Tolleranza Immunologica?</w:t>
      </w:r>
    </w:p>
    <w:p w14:paraId="26F0560F" w14:textId="77777777" w:rsidR="00EF195B" w:rsidRPr="00EF195B" w:rsidRDefault="00EF195B" w:rsidP="00EF195B">
      <w:r w:rsidRPr="00EF195B">
        <w:t xml:space="preserve">La tolleranza immunologica è la capacità del sistema immunitario di </w:t>
      </w:r>
      <w:r w:rsidRPr="00EF195B">
        <w:rPr>
          <w:b/>
          <w:bCs/>
        </w:rPr>
        <w:t>non attaccare</w:t>
      </w:r>
      <w:r w:rsidRPr="00EF195B">
        <w:t xml:space="preserve"> un determinato antigene. Nel caso dei trapianti, l’obiettivo è indurre una tolleranza verso l’organo donato per evitare il rigetto senza dover dipendere dai farmaci immunosoppressori per tutta la vita.</w:t>
      </w:r>
    </w:p>
    <w:p w14:paraId="6D2244A1" w14:textId="77777777" w:rsidR="00EF195B" w:rsidRPr="00EF195B" w:rsidRDefault="00EF195B" w:rsidP="00EF195B">
      <w:pPr>
        <w:rPr>
          <w:b/>
          <w:bCs/>
        </w:rPr>
      </w:pPr>
      <w:r w:rsidRPr="00EF195B">
        <w:rPr>
          <w:b/>
          <w:bCs/>
        </w:rPr>
        <w:t>3.2 Strategie per Indurre la Tolleranza</w:t>
      </w:r>
    </w:p>
    <w:p w14:paraId="56AFC3C1" w14:textId="77777777" w:rsidR="00EF195B" w:rsidRPr="00EF195B" w:rsidRDefault="00EF195B" w:rsidP="00EF195B">
      <w:pPr>
        <w:rPr>
          <w:b/>
          <w:bCs/>
        </w:rPr>
      </w:pPr>
      <w:r w:rsidRPr="00EF195B">
        <w:rPr>
          <w:b/>
          <w:bCs/>
        </w:rPr>
        <w:t>A) Immunosoppressione Farmacologica</w:t>
      </w:r>
    </w:p>
    <w:p w14:paraId="2FF5B947" w14:textId="77777777" w:rsidR="00EF195B" w:rsidRPr="00EF195B" w:rsidRDefault="00EF195B" w:rsidP="00EF195B">
      <w:r w:rsidRPr="00EF195B">
        <w:t xml:space="preserve">L’approccio tradizionale per prevenire il rigetto è l’uso di </w:t>
      </w:r>
      <w:r w:rsidRPr="00EF195B">
        <w:rPr>
          <w:b/>
          <w:bCs/>
        </w:rPr>
        <w:t>farmaci immunosoppressori</w:t>
      </w:r>
      <w:r w:rsidRPr="00EF195B">
        <w:t>, che inibiscono l’attività del sistema immunitario. Tra i principali farmaci usati ci sono:</w:t>
      </w:r>
    </w:p>
    <w:p w14:paraId="00D19D6E" w14:textId="77777777" w:rsidR="00EF195B" w:rsidRPr="00EF195B" w:rsidRDefault="00EF195B" w:rsidP="00EF195B">
      <w:pPr>
        <w:numPr>
          <w:ilvl w:val="0"/>
          <w:numId w:val="2"/>
        </w:numPr>
      </w:pPr>
      <w:r w:rsidRPr="00EF195B">
        <w:rPr>
          <w:b/>
          <w:bCs/>
        </w:rPr>
        <w:t xml:space="preserve">Ciclosporina e </w:t>
      </w:r>
      <w:proofErr w:type="spellStart"/>
      <w:r w:rsidRPr="00EF195B">
        <w:rPr>
          <w:b/>
          <w:bCs/>
        </w:rPr>
        <w:t>tacrolimus</w:t>
      </w:r>
      <w:proofErr w:type="spellEnd"/>
      <w:r w:rsidRPr="00EF195B">
        <w:t>: inibiscono l’attivazione dei linfociti T.</w:t>
      </w:r>
    </w:p>
    <w:p w14:paraId="04914720" w14:textId="77777777" w:rsidR="00EF195B" w:rsidRPr="00EF195B" w:rsidRDefault="00EF195B" w:rsidP="00EF195B">
      <w:pPr>
        <w:numPr>
          <w:ilvl w:val="0"/>
          <w:numId w:val="2"/>
        </w:numPr>
      </w:pPr>
      <w:r w:rsidRPr="00EF195B">
        <w:rPr>
          <w:b/>
          <w:bCs/>
        </w:rPr>
        <w:t>Corticosteroidi</w:t>
      </w:r>
      <w:r w:rsidRPr="00EF195B">
        <w:t>: riducono l’infiammazione.</w:t>
      </w:r>
    </w:p>
    <w:p w14:paraId="54625903" w14:textId="77777777" w:rsidR="00EF195B" w:rsidRPr="00EF195B" w:rsidRDefault="00EF195B" w:rsidP="00EF195B">
      <w:pPr>
        <w:numPr>
          <w:ilvl w:val="0"/>
          <w:numId w:val="2"/>
        </w:numPr>
      </w:pPr>
      <w:proofErr w:type="spellStart"/>
      <w:r w:rsidRPr="00EF195B">
        <w:rPr>
          <w:b/>
          <w:bCs/>
        </w:rPr>
        <w:t>Micofenolato</w:t>
      </w:r>
      <w:proofErr w:type="spellEnd"/>
      <w:r w:rsidRPr="00EF195B">
        <w:rPr>
          <w:b/>
          <w:bCs/>
        </w:rPr>
        <w:t xml:space="preserve"> </w:t>
      </w:r>
      <w:proofErr w:type="spellStart"/>
      <w:r w:rsidRPr="00EF195B">
        <w:rPr>
          <w:b/>
          <w:bCs/>
        </w:rPr>
        <w:t>mofetile</w:t>
      </w:r>
      <w:proofErr w:type="spellEnd"/>
      <w:r w:rsidRPr="00EF195B">
        <w:t>: blocca la proliferazione dei linfociti.</w:t>
      </w:r>
    </w:p>
    <w:p w14:paraId="5BFDAAE0" w14:textId="77777777" w:rsidR="00EF195B" w:rsidRPr="00EF195B" w:rsidRDefault="00EF195B" w:rsidP="00EF195B">
      <w:r w:rsidRPr="00EF195B">
        <w:t>Tuttavia, questi farmaci possono causare effetti collaterali gravi, come un maggiore rischio di infezioni, diabete e tumori.</w:t>
      </w:r>
    </w:p>
    <w:p w14:paraId="2D914BB6" w14:textId="77777777" w:rsidR="00EF195B" w:rsidRPr="00EF195B" w:rsidRDefault="00EF195B" w:rsidP="00EF195B">
      <w:pPr>
        <w:rPr>
          <w:b/>
          <w:bCs/>
        </w:rPr>
      </w:pPr>
      <w:r w:rsidRPr="00EF195B">
        <w:rPr>
          <w:b/>
          <w:bCs/>
        </w:rPr>
        <w:t>B) Induzione della Tolleranza con Anticorpi Policlonali Anti-Timociti</w:t>
      </w:r>
    </w:p>
    <w:p w14:paraId="3A125404" w14:textId="77777777" w:rsidR="00EF195B" w:rsidRPr="00EF195B" w:rsidRDefault="00EF195B" w:rsidP="00EF195B">
      <w:r w:rsidRPr="00EF195B">
        <w:t xml:space="preserve">Uno studio di </w:t>
      </w:r>
      <w:r w:rsidRPr="00EF195B">
        <w:rPr>
          <w:b/>
          <w:bCs/>
        </w:rPr>
        <w:t>de Ruvo (2007)</w:t>
      </w:r>
      <w:r w:rsidRPr="00EF195B">
        <w:t xml:space="preserve"> ha analizzato l’efficacia dell’uso di </w:t>
      </w:r>
      <w:r w:rsidRPr="00EF195B">
        <w:rPr>
          <w:b/>
          <w:bCs/>
        </w:rPr>
        <w:t>anticorpi policlonali anti-timociti</w:t>
      </w:r>
      <w:r w:rsidRPr="00EF195B">
        <w:t xml:space="preserve"> nel trapianto di fegato, dimostrando che questi possono ridurre l’incidenza di rigetto acuto nei pazienti trapiantati e favorire una tolleranza più duratura (</w:t>
      </w:r>
      <w:hyperlink r:id="rId5" w:tgtFrame="_new" w:history="1">
        <w:r w:rsidRPr="00EF195B">
          <w:rPr>
            <w:rStyle w:val="Collegamentoipertestuale"/>
          </w:rPr>
          <w:t>de Ruvo, 2007</w:t>
        </w:r>
      </w:hyperlink>
      <w:r w:rsidRPr="00EF195B">
        <w:t>). Questo tipo di terapia è particolarmente utile nei pazienti con epatite C, in cui il rischio di rigetto è più elevato.</w:t>
      </w:r>
    </w:p>
    <w:p w14:paraId="6C2E018E" w14:textId="77777777" w:rsidR="00EF195B" w:rsidRPr="00EF195B" w:rsidRDefault="00EF195B" w:rsidP="00EF195B">
      <w:pPr>
        <w:rPr>
          <w:b/>
          <w:bCs/>
        </w:rPr>
      </w:pPr>
      <w:r w:rsidRPr="00EF195B">
        <w:rPr>
          <w:b/>
          <w:bCs/>
        </w:rPr>
        <w:t>C) Linfociti T Regolatori (TREG)</w:t>
      </w:r>
    </w:p>
    <w:p w14:paraId="3BFE9833" w14:textId="77777777" w:rsidR="00EF195B" w:rsidRPr="00EF195B" w:rsidRDefault="00EF195B" w:rsidP="00EF195B">
      <w:r w:rsidRPr="00EF195B">
        <w:t xml:space="preserve">Un’alternativa promettente è l’uso dei </w:t>
      </w:r>
      <w:r w:rsidRPr="00EF195B">
        <w:rPr>
          <w:b/>
          <w:bCs/>
        </w:rPr>
        <w:t>linfociti T regolatori (TREG)</w:t>
      </w:r>
      <w:r w:rsidRPr="00EF195B">
        <w:t>, che hanno il compito di controllare l’attività del sistema immunitario e impedire risposte autoimmuni.</w:t>
      </w:r>
    </w:p>
    <w:p w14:paraId="3121C0DC" w14:textId="77777777" w:rsidR="00EF195B" w:rsidRPr="00EF195B" w:rsidRDefault="00EF195B" w:rsidP="00EF195B">
      <w:r w:rsidRPr="00EF195B">
        <w:t xml:space="preserve">Secondo lo studio di </w:t>
      </w:r>
      <w:proofErr w:type="spellStart"/>
      <w:r w:rsidRPr="00EF195B">
        <w:rPr>
          <w:b/>
          <w:bCs/>
        </w:rPr>
        <w:t>Dolla</w:t>
      </w:r>
      <w:proofErr w:type="spellEnd"/>
      <w:r w:rsidRPr="00EF195B">
        <w:rPr>
          <w:b/>
          <w:bCs/>
        </w:rPr>
        <w:t xml:space="preserve"> (2018)</w:t>
      </w:r>
      <w:r w:rsidRPr="00EF195B">
        <w:t>, l’espansione dei TREG nel sangue del paziente potrebbe aiutare a prevenire il rigetto e a indurre tolleranza senza l’uso prolungato di farmaci (</w:t>
      </w:r>
      <w:proofErr w:type="spellStart"/>
      <w:r w:rsidRPr="00EF195B">
        <w:fldChar w:fldCharType="begin"/>
      </w:r>
      <w:r w:rsidRPr="00EF195B">
        <w:instrText>HYPERLINK "https://iris.unito.it/bitstream/2318/2018132/2/TESI_DOTTORATO_DOLLA.pdf" \t "_new"</w:instrText>
      </w:r>
      <w:r w:rsidRPr="00EF195B">
        <w:fldChar w:fldCharType="separate"/>
      </w:r>
      <w:r w:rsidRPr="00EF195B">
        <w:rPr>
          <w:rStyle w:val="Collegamentoipertestuale"/>
        </w:rPr>
        <w:t>Dolla</w:t>
      </w:r>
      <w:proofErr w:type="spellEnd"/>
      <w:r w:rsidRPr="00EF195B">
        <w:rPr>
          <w:rStyle w:val="Collegamentoipertestuale"/>
        </w:rPr>
        <w:t>, 2018</w:t>
      </w:r>
      <w:r w:rsidRPr="00EF195B">
        <w:fldChar w:fldCharType="end"/>
      </w:r>
      <w:r w:rsidRPr="00EF195B">
        <w:t>).</w:t>
      </w:r>
    </w:p>
    <w:p w14:paraId="76F073B6" w14:textId="77777777" w:rsidR="00EF195B" w:rsidRPr="00EF195B" w:rsidRDefault="00EF195B" w:rsidP="00EF195B">
      <w:r w:rsidRPr="00EF195B">
        <w:pict w14:anchorId="4349C896">
          <v:rect id="_x0000_i1051" style="width:0;height:1.5pt" o:hralign="center" o:hrstd="t" o:hr="t" fillcolor="#a0a0a0" stroked="f"/>
        </w:pict>
      </w:r>
    </w:p>
    <w:p w14:paraId="01940B60" w14:textId="77777777" w:rsidR="00EF195B" w:rsidRPr="00EF195B" w:rsidRDefault="00EF195B" w:rsidP="00EF195B">
      <w:pPr>
        <w:rPr>
          <w:b/>
          <w:bCs/>
        </w:rPr>
      </w:pPr>
      <w:r w:rsidRPr="00EF195B">
        <w:rPr>
          <w:b/>
          <w:bCs/>
        </w:rPr>
        <w:t>4. Conclusioni e Prospettive Future</w:t>
      </w:r>
    </w:p>
    <w:p w14:paraId="278517E6" w14:textId="77777777" w:rsidR="00EF195B" w:rsidRPr="00EF195B" w:rsidRDefault="00EF195B" w:rsidP="00EF195B">
      <w:r w:rsidRPr="00EF195B">
        <w:t>La ricerca nel campo dei trapianti sta cercando di sviluppare nuovi metodi per migliorare la tolleranza immunologica e ridurre la dipendenza dai farmaci immunosoppressori. Tra le strategie più promettenti ci sono:</w:t>
      </w:r>
    </w:p>
    <w:p w14:paraId="37F2AAF9" w14:textId="77777777" w:rsidR="00EF195B" w:rsidRPr="00EF195B" w:rsidRDefault="00EF195B" w:rsidP="00EF195B">
      <w:pPr>
        <w:numPr>
          <w:ilvl w:val="0"/>
          <w:numId w:val="3"/>
        </w:numPr>
      </w:pPr>
      <w:r w:rsidRPr="00EF195B">
        <w:rPr>
          <w:b/>
          <w:bCs/>
        </w:rPr>
        <w:t>Trapianti di organi geneticamente modificati</w:t>
      </w:r>
      <w:r w:rsidRPr="00EF195B">
        <w:t xml:space="preserve"> per ridurre il rischio di rigetto.</w:t>
      </w:r>
    </w:p>
    <w:p w14:paraId="7395DE52" w14:textId="77777777" w:rsidR="00EF195B" w:rsidRPr="00EF195B" w:rsidRDefault="00EF195B" w:rsidP="00EF195B">
      <w:pPr>
        <w:numPr>
          <w:ilvl w:val="0"/>
          <w:numId w:val="3"/>
        </w:numPr>
      </w:pPr>
      <w:r w:rsidRPr="00EF195B">
        <w:rPr>
          <w:b/>
          <w:bCs/>
        </w:rPr>
        <w:t>Uso di biomateriali e nanomedicina</w:t>
      </w:r>
      <w:r w:rsidRPr="00EF195B">
        <w:t xml:space="preserve"> per migliorare la compatibilità tra organo e ricevente.</w:t>
      </w:r>
    </w:p>
    <w:p w14:paraId="577ED970" w14:textId="77777777" w:rsidR="00EF195B" w:rsidRPr="00EF195B" w:rsidRDefault="00EF195B" w:rsidP="00EF195B">
      <w:pPr>
        <w:numPr>
          <w:ilvl w:val="0"/>
          <w:numId w:val="3"/>
        </w:numPr>
      </w:pPr>
      <w:r w:rsidRPr="00EF195B">
        <w:rPr>
          <w:b/>
          <w:bCs/>
        </w:rPr>
        <w:lastRenderedPageBreak/>
        <w:t>Terapie cellulari con TREG e cellule staminali</w:t>
      </w:r>
      <w:r w:rsidRPr="00EF195B">
        <w:t xml:space="preserve"> per rafforzare la tolleranza immunologica.</w:t>
      </w:r>
    </w:p>
    <w:p w14:paraId="38687C06" w14:textId="77777777" w:rsidR="00EF195B" w:rsidRPr="00EF195B" w:rsidRDefault="00EF195B" w:rsidP="00EF195B">
      <w:r w:rsidRPr="00EF195B">
        <w:pict w14:anchorId="00A0F72A">
          <v:rect id="_x0000_i1052" style="width:0;height:1.5pt" o:hralign="center" o:hrstd="t" o:hr="t" fillcolor="#a0a0a0" stroked="f"/>
        </w:pict>
      </w:r>
    </w:p>
    <w:p w14:paraId="1B6ABFF5" w14:textId="77777777" w:rsidR="00EF195B" w:rsidRPr="00EF195B" w:rsidRDefault="00EF195B" w:rsidP="00EF195B">
      <w:pPr>
        <w:rPr>
          <w:b/>
          <w:bCs/>
        </w:rPr>
      </w:pPr>
      <w:r w:rsidRPr="00EF195B">
        <w:rPr>
          <w:b/>
          <w:bCs/>
        </w:rPr>
        <w:t>5. Bibliografia</w:t>
      </w:r>
    </w:p>
    <w:p w14:paraId="0757F7D2" w14:textId="185D4810" w:rsidR="00EF195B" w:rsidRDefault="00EF195B" w:rsidP="00EF195B">
      <w:proofErr w:type="spellStart"/>
      <w:r>
        <w:t>Dolla</w:t>
      </w:r>
      <w:proofErr w:type="spellEnd"/>
      <w:r>
        <w:t xml:space="preserve">, C. (2018). L'espansione di linfociti T regolatori (TREG) quale approccio verso l'induzione di tolleranza immunologica nel trapianto renale. Università di Torino. </w:t>
      </w:r>
    </w:p>
    <w:p w14:paraId="54CAE065" w14:textId="4DA23C31" w:rsidR="00EF195B" w:rsidRDefault="00EF195B" w:rsidP="00EF195B">
      <w:r>
        <w:t xml:space="preserve">de Ruvo, N. (2007). Ricerca della tolleranza clinica e recidiva di Epatite C nel trapianto di fegato: effetti a lungo termine dell'induzione con anticorpi policlonali anti-timociti. Università di Bologna. </w:t>
      </w:r>
    </w:p>
    <w:p w14:paraId="5A08C6D7" w14:textId="05130443" w:rsidR="00C96933" w:rsidRDefault="00EF195B" w:rsidP="00EF195B">
      <w:r>
        <w:t>Barzaghi, F., &amp; Bacchetta, R. (2014). La rottura della tolleranza nella patologia autoimmune e l'induzione della tolleranza nella medicina trapiantologica. ACP</w:t>
      </w:r>
    </w:p>
    <w:sectPr w:rsidR="00C969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867A2"/>
    <w:multiLevelType w:val="multilevel"/>
    <w:tmpl w:val="1AD8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72414"/>
    <w:multiLevelType w:val="multilevel"/>
    <w:tmpl w:val="87F8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44B17"/>
    <w:multiLevelType w:val="multilevel"/>
    <w:tmpl w:val="DC44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E61565"/>
    <w:multiLevelType w:val="multilevel"/>
    <w:tmpl w:val="D43C9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882532">
    <w:abstractNumId w:val="3"/>
  </w:num>
  <w:num w:numId="2" w16cid:durableId="1080251986">
    <w:abstractNumId w:val="1"/>
  </w:num>
  <w:num w:numId="3" w16cid:durableId="1381516141">
    <w:abstractNumId w:val="0"/>
  </w:num>
  <w:num w:numId="4" w16cid:durableId="448626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5B"/>
    <w:rsid w:val="00C96933"/>
    <w:rsid w:val="00D96614"/>
    <w:rsid w:val="00EF19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EF62"/>
  <w15:chartTrackingRefBased/>
  <w15:docId w15:val="{C4E450CE-C72C-47C8-91CD-984FD06E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1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F1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F195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F195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F195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F19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19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19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19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195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F195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F195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F195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F195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F19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19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19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19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1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19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19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19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19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195B"/>
    <w:rPr>
      <w:i/>
      <w:iCs/>
      <w:color w:val="404040" w:themeColor="text1" w:themeTint="BF"/>
    </w:rPr>
  </w:style>
  <w:style w:type="paragraph" w:styleId="Paragrafoelenco">
    <w:name w:val="List Paragraph"/>
    <w:basedOn w:val="Normale"/>
    <w:uiPriority w:val="34"/>
    <w:qFormat/>
    <w:rsid w:val="00EF195B"/>
    <w:pPr>
      <w:ind w:left="720"/>
      <w:contextualSpacing/>
    </w:pPr>
  </w:style>
  <w:style w:type="character" w:styleId="Enfasiintensa">
    <w:name w:val="Intense Emphasis"/>
    <w:basedOn w:val="Carpredefinitoparagrafo"/>
    <w:uiPriority w:val="21"/>
    <w:qFormat/>
    <w:rsid w:val="00EF195B"/>
    <w:rPr>
      <w:i/>
      <w:iCs/>
      <w:color w:val="0F4761" w:themeColor="accent1" w:themeShade="BF"/>
    </w:rPr>
  </w:style>
  <w:style w:type="paragraph" w:styleId="Citazioneintensa">
    <w:name w:val="Intense Quote"/>
    <w:basedOn w:val="Normale"/>
    <w:next w:val="Normale"/>
    <w:link w:val="CitazioneintensaCarattere"/>
    <w:uiPriority w:val="30"/>
    <w:qFormat/>
    <w:rsid w:val="00EF1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F195B"/>
    <w:rPr>
      <w:i/>
      <w:iCs/>
      <w:color w:val="0F4761" w:themeColor="accent1" w:themeShade="BF"/>
    </w:rPr>
  </w:style>
  <w:style w:type="character" w:styleId="Riferimentointenso">
    <w:name w:val="Intense Reference"/>
    <w:basedOn w:val="Carpredefinitoparagrafo"/>
    <w:uiPriority w:val="32"/>
    <w:qFormat/>
    <w:rsid w:val="00EF195B"/>
    <w:rPr>
      <w:b/>
      <w:bCs/>
      <w:smallCaps/>
      <w:color w:val="0F4761" w:themeColor="accent1" w:themeShade="BF"/>
      <w:spacing w:val="5"/>
    </w:rPr>
  </w:style>
  <w:style w:type="character" w:styleId="Collegamentoipertestuale">
    <w:name w:val="Hyperlink"/>
    <w:basedOn w:val="Carpredefinitoparagrafo"/>
    <w:uiPriority w:val="99"/>
    <w:unhideWhenUsed/>
    <w:rsid w:val="00EF195B"/>
    <w:rPr>
      <w:color w:val="467886" w:themeColor="hyperlink"/>
      <w:u w:val="single"/>
    </w:rPr>
  </w:style>
  <w:style w:type="character" w:styleId="Menzionenonrisolta">
    <w:name w:val="Unresolved Mention"/>
    <w:basedOn w:val="Carpredefinitoparagrafo"/>
    <w:uiPriority w:val="99"/>
    <w:semiHidden/>
    <w:unhideWhenUsed/>
    <w:rsid w:val="00EF1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8475">
      <w:bodyDiv w:val="1"/>
      <w:marLeft w:val="0"/>
      <w:marRight w:val="0"/>
      <w:marTop w:val="0"/>
      <w:marBottom w:val="0"/>
      <w:divBdr>
        <w:top w:val="none" w:sz="0" w:space="0" w:color="auto"/>
        <w:left w:val="none" w:sz="0" w:space="0" w:color="auto"/>
        <w:bottom w:val="none" w:sz="0" w:space="0" w:color="auto"/>
        <w:right w:val="none" w:sz="0" w:space="0" w:color="auto"/>
      </w:divBdr>
    </w:div>
    <w:div w:id="1001271523">
      <w:bodyDiv w:val="1"/>
      <w:marLeft w:val="0"/>
      <w:marRight w:val="0"/>
      <w:marTop w:val="0"/>
      <w:marBottom w:val="0"/>
      <w:divBdr>
        <w:top w:val="none" w:sz="0" w:space="0" w:color="auto"/>
        <w:left w:val="none" w:sz="0" w:space="0" w:color="auto"/>
        <w:bottom w:val="none" w:sz="0" w:space="0" w:color="auto"/>
        <w:right w:val="none" w:sz="0" w:space="0" w:color="auto"/>
      </w:divBdr>
    </w:div>
    <w:div w:id="1585605263">
      <w:bodyDiv w:val="1"/>
      <w:marLeft w:val="0"/>
      <w:marRight w:val="0"/>
      <w:marTop w:val="0"/>
      <w:marBottom w:val="0"/>
      <w:divBdr>
        <w:top w:val="none" w:sz="0" w:space="0" w:color="auto"/>
        <w:left w:val="none" w:sz="0" w:space="0" w:color="auto"/>
        <w:bottom w:val="none" w:sz="0" w:space="0" w:color="auto"/>
        <w:right w:val="none" w:sz="0" w:space="0" w:color="auto"/>
      </w:divBdr>
    </w:div>
    <w:div w:id="16692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msdottorato.unibo.it/265/1/TESI_DOTTORATO_DE_RUVO.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892</Words>
  <Characters>5091</Characters>
  <Application>Microsoft Office Word</Application>
  <DocSecurity>0</DocSecurity>
  <Lines>42</Lines>
  <Paragraphs>11</Paragraphs>
  <ScaleCrop>false</ScaleCrop>
  <Company>Gruppo Mediaset S.p.a.</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1</cp:revision>
  <cp:lastPrinted>2025-02-22T18:18:00Z</cp:lastPrinted>
  <dcterms:created xsi:type="dcterms:W3CDTF">2025-02-22T18:17:00Z</dcterms:created>
  <dcterms:modified xsi:type="dcterms:W3CDTF">2025-02-22T18:23:00Z</dcterms:modified>
</cp:coreProperties>
</file>